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Pr="00887E4F" w:rsidRDefault="00286028" w:rsidP="00270715">
      <w:pPr>
        <w:rPr>
          <w:rFonts w:cstheme="minorHAnsi"/>
          <w:sz w:val="22"/>
          <w:szCs w:val="22"/>
        </w:rPr>
      </w:pPr>
    </w:p>
    <w:p w14:paraId="6C9EE0DA" w14:textId="77777777" w:rsidR="007A2AEE" w:rsidRPr="00887E4F" w:rsidRDefault="007A2AEE" w:rsidP="005B64B8">
      <w:pPr>
        <w:jc w:val="center"/>
        <w:rPr>
          <w:rFonts w:cstheme="minorHAnsi"/>
          <w:b/>
          <w:bCs/>
        </w:rPr>
      </w:pPr>
    </w:p>
    <w:p w14:paraId="75888E21" w14:textId="368377FC" w:rsidR="005B64B8" w:rsidRPr="00887E4F" w:rsidRDefault="005B64B8" w:rsidP="005B64B8">
      <w:pPr>
        <w:jc w:val="center"/>
        <w:rPr>
          <w:rFonts w:cstheme="minorHAnsi"/>
          <w:b/>
          <w:bCs/>
        </w:rPr>
      </w:pPr>
      <w:r w:rsidRPr="00887E4F">
        <w:rPr>
          <w:rFonts w:cstheme="minorHAnsi"/>
          <w:b/>
          <w:bCs/>
        </w:rPr>
        <w:t>OPIS PRZEDMIOTU ZAMÓWIENIA</w:t>
      </w:r>
    </w:p>
    <w:p w14:paraId="7B969445" w14:textId="53577DA1" w:rsidR="00A43E9B" w:rsidRPr="00887E4F" w:rsidRDefault="00237463" w:rsidP="00270715">
      <w:pPr>
        <w:jc w:val="center"/>
        <w:rPr>
          <w:rFonts w:cstheme="minorHAnsi"/>
        </w:rPr>
      </w:pPr>
      <w:r w:rsidRPr="00887E4F">
        <w:rPr>
          <w:rFonts w:cstheme="minorHAnsi"/>
        </w:rPr>
        <w:t xml:space="preserve">Załącznik nr </w:t>
      </w:r>
      <w:r w:rsidR="005B64B8" w:rsidRPr="00887E4F">
        <w:rPr>
          <w:rFonts w:cstheme="minorHAnsi"/>
        </w:rPr>
        <w:t>1</w:t>
      </w:r>
      <w:r w:rsidR="003C52F8" w:rsidRPr="00887E4F">
        <w:rPr>
          <w:rFonts w:cstheme="minorHAnsi"/>
        </w:rPr>
        <w:t xml:space="preserve"> </w:t>
      </w:r>
      <w:r w:rsidRPr="00887E4F">
        <w:rPr>
          <w:rFonts w:cstheme="minorHAnsi"/>
        </w:rPr>
        <w:t>do Zapytania Ofertowego</w:t>
      </w:r>
    </w:p>
    <w:p w14:paraId="723F4752" w14:textId="77777777" w:rsidR="007A2AEE" w:rsidRPr="00887E4F" w:rsidRDefault="007A2AEE" w:rsidP="00270715">
      <w:pPr>
        <w:spacing w:before="60" w:after="60"/>
        <w:rPr>
          <w:rFonts w:cstheme="minorHAnsi"/>
          <w:sz w:val="22"/>
          <w:szCs w:val="22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93"/>
        <w:gridCol w:w="573"/>
      </w:tblGrid>
      <w:tr w:rsidR="00C53549" w:rsidRPr="00887E4F" w14:paraId="1A34C3A8" w14:textId="77777777" w:rsidTr="00A87FA1">
        <w:trPr>
          <w:trHeight w:val="232"/>
          <w:jc w:val="center"/>
        </w:trPr>
        <w:tc>
          <w:tcPr>
            <w:tcW w:w="4932" w:type="dxa"/>
            <w:gridSpan w:val="2"/>
          </w:tcPr>
          <w:p w14:paraId="1C75BA37" w14:textId="77777777" w:rsidR="00C53549" w:rsidRPr="00887E4F" w:rsidRDefault="00C53549" w:rsidP="00A87FA1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887E4F">
              <w:rPr>
                <w:rFonts w:cstheme="minorHAnsi"/>
                <w:sz w:val="22"/>
                <w:szCs w:val="22"/>
              </w:rPr>
              <w:t>Dotyczy:</w:t>
            </w:r>
          </w:p>
        </w:tc>
        <w:tc>
          <w:tcPr>
            <w:tcW w:w="295" w:type="dxa"/>
          </w:tcPr>
          <w:p w14:paraId="6B759DD4" w14:textId="77777777" w:rsidR="00C53549" w:rsidRPr="00887E4F" w:rsidRDefault="00C53549" w:rsidP="00A87FA1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C53549" w:rsidRPr="00887E4F" w14:paraId="4770F389" w14:textId="77777777" w:rsidTr="00A87FA1">
        <w:trPr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7542BE66" w14:textId="77777777" w:rsidR="00C53549" w:rsidRPr="00887E4F" w:rsidRDefault="00C53549" w:rsidP="00A87FA1">
            <w:pPr>
              <w:spacing w:before="60" w:after="60"/>
              <w:rPr>
                <w:rFonts w:cstheme="minorHAnsi"/>
                <w:sz w:val="22"/>
                <w:szCs w:val="22"/>
              </w:rPr>
            </w:pPr>
            <w:r w:rsidRPr="00887E4F">
              <w:rPr>
                <w:rFonts w:cstheme="minorHAnsi"/>
                <w:sz w:val="22"/>
                <w:szCs w:val="22"/>
              </w:rPr>
              <w:t xml:space="preserve">Zapytanie Ofertowe nr: </w:t>
            </w:r>
          </w:p>
        </w:tc>
        <w:tc>
          <w:tcPr>
            <w:tcW w:w="2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F3C01" w14:textId="235660C8" w:rsidR="00C53549" w:rsidRPr="00887E4F" w:rsidRDefault="00A163A4" w:rsidP="00A87FA1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887E4F">
              <w:rPr>
                <w:rFonts w:cstheme="minorHAnsi"/>
                <w:b/>
                <w:bCs/>
              </w:rPr>
              <w:t>2</w:t>
            </w:r>
            <w:r w:rsidR="00E63C89" w:rsidRPr="00887E4F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95" w:type="dxa"/>
            <w:tcBorders>
              <w:left w:val="single" w:sz="4" w:space="0" w:color="BFBFBF" w:themeColor="background1" w:themeShade="BF"/>
            </w:tcBorders>
          </w:tcPr>
          <w:p w14:paraId="3DFDAA09" w14:textId="77777777" w:rsidR="00C53549" w:rsidRPr="00887E4F" w:rsidRDefault="00C53549" w:rsidP="00A87FA1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106D984F" w14:textId="77777777" w:rsidR="005B64B8" w:rsidRPr="00887E4F" w:rsidRDefault="005B64B8" w:rsidP="005B64B8">
      <w:pPr>
        <w:rPr>
          <w:rFonts w:cstheme="minorHAnsi"/>
          <w:sz w:val="22"/>
          <w:szCs w:val="22"/>
        </w:rPr>
      </w:pPr>
    </w:p>
    <w:p w14:paraId="6AB06CF4" w14:textId="77777777" w:rsidR="00C53549" w:rsidRPr="00887E4F" w:rsidRDefault="00C53549" w:rsidP="005B64B8">
      <w:pPr>
        <w:rPr>
          <w:rFonts w:cstheme="minorHAnsi"/>
          <w:sz w:val="22"/>
          <w:szCs w:val="22"/>
        </w:rPr>
      </w:pPr>
    </w:p>
    <w:p w14:paraId="7B07357E" w14:textId="77777777" w:rsidR="00C53549" w:rsidRPr="00887E4F" w:rsidRDefault="00C53549" w:rsidP="00D429D0">
      <w:pPr>
        <w:spacing w:line="276" w:lineRule="auto"/>
        <w:rPr>
          <w:rFonts w:eastAsia="Calibri" w:cstheme="minorHAnsi"/>
          <w:sz w:val="22"/>
          <w:szCs w:val="22"/>
        </w:rPr>
      </w:pPr>
      <w:r w:rsidRPr="00887E4F">
        <w:rPr>
          <w:rFonts w:eastAsia="Calibri" w:cstheme="minorHAnsi"/>
          <w:sz w:val="22"/>
          <w:szCs w:val="22"/>
        </w:rPr>
        <w:t>Zamawiający:</w:t>
      </w:r>
    </w:p>
    <w:p w14:paraId="5E9C1AF5" w14:textId="77777777" w:rsidR="00C53549" w:rsidRPr="00887E4F" w:rsidRDefault="00C53549" w:rsidP="00D429D0">
      <w:pPr>
        <w:pStyle w:val="Akapitzlist"/>
        <w:spacing w:line="276" w:lineRule="auto"/>
        <w:ind w:left="340"/>
        <w:rPr>
          <w:rFonts w:cstheme="minorHAnsi"/>
          <w:caps/>
          <w:spacing w:val="5"/>
          <w:sz w:val="22"/>
          <w:szCs w:val="22"/>
        </w:rPr>
      </w:pPr>
      <w:bookmarkStart w:id="0" w:name="_heading=h.rop7una7eqyu" w:colFirst="0" w:colLast="0"/>
      <w:bookmarkEnd w:id="0"/>
      <w:r w:rsidRPr="00887E4F">
        <w:rPr>
          <w:rFonts w:cstheme="minorHAnsi"/>
          <w:caps/>
          <w:spacing w:val="5"/>
          <w:sz w:val="22"/>
          <w:szCs w:val="22"/>
        </w:rPr>
        <w:t>ENERGIA POMORZE SP. Z O.O.</w:t>
      </w:r>
    </w:p>
    <w:p w14:paraId="25C31055" w14:textId="77777777" w:rsidR="00C53549" w:rsidRPr="00887E4F" w:rsidRDefault="00C53549" w:rsidP="00D429D0">
      <w:pPr>
        <w:pStyle w:val="Akapitzlist"/>
        <w:spacing w:before="60" w:after="60" w:line="276" w:lineRule="auto"/>
        <w:ind w:left="340"/>
        <w:jc w:val="both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ul. Szczecińska 11e, 75-122 Koszalin</w:t>
      </w:r>
    </w:p>
    <w:p w14:paraId="475652DD" w14:textId="77777777" w:rsidR="00C53549" w:rsidRPr="00887E4F" w:rsidRDefault="00C53549" w:rsidP="00D429D0">
      <w:pPr>
        <w:pStyle w:val="Akapitzlist"/>
        <w:spacing w:before="60" w:after="60" w:line="276" w:lineRule="auto"/>
        <w:ind w:left="340"/>
        <w:jc w:val="both"/>
        <w:rPr>
          <w:rFonts w:eastAsia="Arial" w:cstheme="minorHAnsi"/>
          <w:sz w:val="22"/>
          <w:szCs w:val="22"/>
        </w:rPr>
      </w:pPr>
      <w:r w:rsidRPr="00887E4F">
        <w:rPr>
          <w:rFonts w:eastAsia="Arial" w:cstheme="minorHAnsi"/>
          <w:sz w:val="22"/>
          <w:szCs w:val="22"/>
        </w:rPr>
        <w:t>NIP: 6692545054</w:t>
      </w:r>
    </w:p>
    <w:p w14:paraId="36AE4B64" w14:textId="77777777" w:rsidR="00532D23" w:rsidRPr="00887E4F" w:rsidRDefault="00532D23" w:rsidP="00B97985">
      <w:pPr>
        <w:spacing w:line="276" w:lineRule="auto"/>
        <w:rPr>
          <w:rFonts w:cstheme="minorHAnsi"/>
          <w:sz w:val="22"/>
          <w:szCs w:val="22"/>
        </w:rPr>
      </w:pPr>
    </w:p>
    <w:p w14:paraId="68CAE583" w14:textId="2FA14492" w:rsidR="00A92A05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1. Informacje ogólne.</w:t>
      </w:r>
    </w:p>
    <w:p w14:paraId="4D2B7CA0" w14:textId="77777777" w:rsidR="00A163A4" w:rsidRPr="00887E4F" w:rsidRDefault="00A163A4" w:rsidP="001D13D1">
      <w:pPr>
        <w:spacing w:after="160" w:line="276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Przedmiotem zamówienia jest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zakup i dostawa komponentów infrastruktury elektroenergetycznej oraz systemu telemechaniki przeznaczonych do stworzenia systemu zarządzania przepływem energii elektrycznej z blokadą wypływu energii do sieci elektroenergetycznej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.</w:t>
      </w:r>
    </w:p>
    <w:p w14:paraId="1858E3A3" w14:textId="77777777" w:rsidR="00A163A4" w:rsidRPr="00887E4F" w:rsidRDefault="00A163A4" w:rsidP="001D13D1">
      <w:pPr>
        <w:spacing w:after="160" w:line="276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Zakup stanowi element przedsięwzięcia polegającego na wdrożeniu systemu umożliwiającego lokalne wykorzystanie energii elektrycznej wytwarzanej z instalacji fotowoltaicznej na potrzeby infrastruktury technicznej znajdującej się na terenie plantacji o powierzchni około 2 ha.</w:t>
      </w:r>
    </w:p>
    <w:p w14:paraId="2521B211" w14:textId="77777777" w:rsidR="00A163A4" w:rsidRPr="00887E4F" w:rsidRDefault="00A163A4" w:rsidP="001D13D1">
      <w:pPr>
        <w:spacing w:after="160" w:line="276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Zmiana koncepcji funkcjonowania instalacji polega na odejściu od pierwotnie zakładanego modelu opartego na jednej centralnej stacji transformatorowej przekazującej energię do sieci elektroenergetycznej, na rzecz modelu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lokalnej </w:t>
      </w:r>
      <w:proofErr w:type="spellStart"/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autokonsumpcji</w:t>
      </w:r>
      <w:proofErr w:type="spellEnd"/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 energii elektrycznej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, w którym energia produkowana przez instalację fotowoltaiczną wykorzystywana jest bezpośrednio na potrzeby infrastruktury technicznej, w szczególności pomp nawadniających i systemów automatyki.</w:t>
      </w:r>
    </w:p>
    <w:p w14:paraId="18B90574" w14:textId="77777777" w:rsidR="00A163A4" w:rsidRPr="00887E4F" w:rsidRDefault="00A163A4" w:rsidP="00A163A4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 związku z powyższym konieczne jest zastosowanie odpowiedniej infrastruktury technicznej obejmującej:</w:t>
      </w:r>
    </w:p>
    <w:p w14:paraId="0D12ED5D" w14:textId="77777777" w:rsidR="00A163A4" w:rsidRPr="00887E4F" w:rsidRDefault="00A163A4" w:rsidP="00A163A4">
      <w:pPr>
        <w:numPr>
          <w:ilvl w:val="0"/>
          <w:numId w:val="41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system blokady wypływu energii do sieci elektroenergetycznej,</w:t>
      </w:r>
    </w:p>
    <w:p w14:paraId="2A28C16F" w14:textId="77777777" w:rsidR="00A163A4" w:rsidRPr="00887E4F" w:rsidRDefault="00A163A4" w:rsidP="00A163A4">
      <w:pPr>
        <w:numPr>
          <w:ilvl w:val="0"/>
          <w:numId w:val="41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moduł telemechaniki zapewniający komunikację i sterowanie systemem,</w:t>
      </w:r>
    </w:p>
    <w:p w14:paraId="78917F16" w14:textId="77777777" w:rsidR="00A163A4" w:rsidRPr="00887E4F" w:rsidRDefault="00A163A4" w:rsidP="00A163A4">
      <w:pPr>
        <w:numPr>
          <w:ilvl w:val="0"/>
          <w:numId w:val="41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wewnętrzną linię kablową średniego napięcia umożliwiającą dystrybucję energii na rozległym obszarze.</w:t>
      </w:r>
    </w:p>
    <w:p w14:paraId="2ED7DF0D" w14:textId="77777777" w:rsidR="00A163A4" w:rsidRPr="00887E4F" w:rsidRDefault="00A163A4" w:rsidP="00A163A4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Zamówienie zostało podzielone na trzy części:</w:t>
      </w:r>
    </w:p>
    <w:p w14:paraId="2A94C29A" w14:textId="77777777" w:rsidR="00A163A4" w:rsidRPr="00887E4F" w:rsidRDefault="00A163A4" w:rsidP="00A163A4">
      <w:pPr>
        <w:numPr>
          <w:ilvl w:val="0"/>
          <w:numId w:val="42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Część A – System blokady wypływu energii do sieci elektroenergetycznej</w:t>
      </w:r>
    </w:p>
    <w:p w14:paraId="27FA5ADC" w14:textId="77777777" w:rsidR="00A163A4" w:rsidRPr="00887E4F" w:rsidRDefault="00A163A4" w:rsidP="00A163A4">
      <w:pPr>
        <w:numPr>
          <w:ilvl w:val="0"/>
          <w:numId w:val="42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Część B – Moduł telemechaniki</w:t>
      </w:r>
    </w:p>
    <w:p w14:paraId="4A7C8200" w14:textId="77777777" w:rsidR="00A163A4" w:rsidRPr="00887E4F" w:rsidRDefault="00A163A4" w:rsidP="00A163A4">
      <w:pPr>
        <w:numPr>
          <w:ilvl w:val="0"/>
          <w:numId w:val="42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Część C – Kabel średniego napięcia</w:t>
      </w:r>
    </w:p>
    <w:p w14:paraId="0FDDE53D" w14:textId="77777777" w:rsidR="00887E4F" w:rsidRPr="00887E4F" w:rsidRDefault="00887E4F" w:rsidP="00887E4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Zamawiający dopuszcza składanie ofert częściowych.</w:t>
      </w:r>
    </w:p>
    <w:p w14:paraId="2594148E" w14:textId="77777777" w:rsidR="00A163A4" w:rsidRPr="00887E4F" w:rsidRDefault="00A163A4" w:rsidP="00A163A4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Wykonawca może złożyć ofertę na jedną, kilka lub wszystkie części zamówienia.</w:t>
      </w:r>
    </w:p>
    <w:p w14:paraId="0B9DDD3E" w14:textId="77777777" w:rsidR="00A163A4" w:rsidRPr="00887E4F" w:rsidRDefault="00A163A4" w:rsidP="00A92A05">
      <w:pPr>
        <w:rPr>
          <w:rFonts w:eastAsia="Times New Roman" w:cstheme="minorHAnsi"/>
          <w:sz w:val="22"/>
          <w:szCs w:val="22"/>
          <w:lang w:eastAsia="pl-PL"/>
        </w:rPr>
      </w:pPr>
    </w:p>
    <w:p w14:paraId="238CF542" w14:textId="77777777" w:rsidR="00887E4F" w:rsidRPr="00887E4F" w:rsidRDefault="00887E4F" w:rsidP="0082240F">
      <w:pPr>
        <w:spacing w:after="160" w:line="259" w:lineRule="auto"/>
        <w:rPr>
          <w:rFonts w:eastAsia="Times New Roman" w:cstheme="minorHAnsi"/>
          <w:sz w:val="22"/>
          <w:szCs w:val="22"/>
          <w:lang w:eastAsia="pl-PL"/>
        </w:rPr>
      </w:pPr>
    </w:p>
    <w:p w14:paraId="44919465" w14:textId="154F701E" w:rsidR="00A163A4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2. Opis części zamówienia.</w:t>
      </w:r>
    </w:p>
    <w:p w14:paraId="0B7F7939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CZĘŚĆ A</w:t>
      </w:r>
    </w:p>
    <w:p w14:paraId="345A434B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System blokady wypływu energii do sieci elektroenergetycznej</w:t>
      </w:r>
    </w:p>
    <w:p w14:paraId="05D467F2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CPV:</w:t>
      </w:r>
      <w:r w:rsidRPr="00887E4F">
        <w:rPr>
          <w:rFonts w:cstheme="minorHAnsi"/>
          <w:sz w:val="22"/>
          <w:szCs w:val="22"/>
        </w:rPr>
        <w:br/>
        <w:t>31214000-9 – Aparatura przełączająca i sterownicza</w:t>
      </w:r>
      <w:r w:rsidRPr="00887E4F">
        <w:rPr>
          <w:rFonts w:cstheme="minorHAnsi"/>
          <w:sz w:val="22"/>
          <w:szCs w:val="22"/>
        </w:rPr>
        <w:br/>
        <w:t>31682210-5 – Aparatura pomiarowa i kontrolna</w:t>
      </w:r>
    </w:p>
    <w:p w14:paraId="40A45E45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Opis funkcjonalny</w:t>
      </w:r>
    </w:p>
    <w:p w14:paraId="7CC14F1C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Przedmiotem tej części zamówienia jest dostawa systemu blokady wypływu energii do sieci elektroenergetycznej, stanowiącego kluczowy element bezpieczeństwa instalacji oraz wymóg techniczno-prawny w przypadku instalacji pracujących w układzie bez oddawania energii do sieci.</w:t>
      </w:r>
    </w:p>
    <w:p w14:paraId="1F04E168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 ma zapewniać bieżące monitorowanie kierunku przepływu energii elektrycznej w instalacji oraz dynamiczne sterowanie pracą źródeł wytwórczych w taki sposób, aby uniemożliwić oddawanie nadwyżek energii do sieci elektroenergetycznej.</w:t>
      </w:r>
    </w:p>
    <w:p w14:paraId="19480C8E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Wymagania funkcjonalne</w:t>
      </w:r>
    </w:p>
    <w:p w14:paraId="7C1658C8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 powinien umożliwiać w szczególności:</w:t>
      </w:r>
    </w:p>
    <w:p w14:paraId="0058EF84" w14:textId="77777777" w:rsidR="0082240F" w:rsidRPr="00887E4F" w:rsidRDefault="0082240F" w:rsidP="0082240F">
      <w:pPr>
        <w:numPr>
          <w:ilvl w:val="0"/>
          <w:numId w:val="43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monitorowanie przepływu energii elektrycznej w czasie rzeczywistym,</w:t>
      </w:r>
    </w:p>
    <w:p w14:paraId="6EE93BFE" w14:textId="77777777" w:rsidR="0082240F" w:rsidRPr="00887E4F" w:rsidRDefault="0082240F" w:rsidP="0082240F">
      <w:pPr>
        <w:numPr>
          <w:ilvl w:val="0"/>
          <w:numId w:val="43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identyfikację kierunku przepływu mocy w punkcie przyłączenia instalacji,</w:t>
      </w:r>
    </w:p>
    <w:p w14:paraId="04AF8374" w14:textId="77777777" w:rsidR="0082240F" w:rsidRPr="00887E4F" w:rsidRDefault="0082240F" w:rsidP="0082240F">
      <w:pPr>
        <w:numPr>
          <w:ilvl w:val="0"/>
          <w:numId w:val="43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dynamiczne sterowanie pracą falowników instalacji fotowoltaicznej,</w:t>
      </w:r>
    </w:p>
    <w:p w14:paraId="5C52A486" w14:textId="77777777" w:rsidR="0082240F" w:rsidRPr="00887E4F" w:rsidRDefault="0082240F" w:rsidP="0082240F">
      <w:pPr>
        <w:numPr>
          <w:ilvl w:val="0"/>
          <w:numId w:val="43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automatyczne ograniczanie mocy generacji w sytuacji, gdy produkcja energii przewyższa bieżące zapotrzebowanie odbiorników energii,</w:t>
      </w:r>
    </w:p>
    <w:p w14:paraId="697E8909" w14:textId="77777777" w:rsidR="0082240F" w:rsidRPr="00887E4F" w:rsidRDefault="0082240F" w:rsidP="0082240F">
      <w:pPr>
        <w:numPr>
          <w:ilvl w:val="0"/>
          <w:numId w:val="43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 xml:space="preserve">blokowanie wypływu energii do sieci dystrybucyjnej poprzez automatyczną redukcję mocy generacji (tzw. </w:t>
      </w:r>
      <w:proofErr w:type="spellStart"/>
      <w:r w:rsidRPr="00887E4F">
        <w:rPr>
          <w:rFonts w:cstheme="minorHAnsi"/>
          <w:sz w:val="22"/>
          <w:szCs w:val="22"/>
        </w:rPr>
        <w:t>curtailment</w:t>
      </w:r>
      <w:proofErr w:type="spellEnd"/>
      <w:r w:rsidRPr="00887E4F">
        <w:rPr>
          <w:rFonts w:cstheme="minorHAnsi"/>
          <w:sz w:val="22"/>
          <w:szCs w:val="22"/>
        </w:rPr>
        <w:t>).</w:t>
      </w:r>
    </w:p>
    <w:p w14:paraId="365C0EBD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 powinien współpracować z infrastrukturą sterowania instalacją fotowoltaiczną oraz z modułem telemechaniki, zapewniając stabilną i bezpieczną pracę całego systemu energetycznego.</w:t>
      </w:r>
    </w:p>
    <w:p w14:paraId="3E8DD79A" w14:textId="71A9ADF4" w:rsidR="001D13D1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 xml:space="preserve">Ilość: </w:t>
      </w:r>
      <w:r w:rsidRPr="00887E4F">
        <w:rPr>
          <w:rFonts w:cstheme="minorHAnsi"/>
          <w:sz w:val="22"/>
          <w:szCs w:val="22"/>
        </w:rPr>
        <w:t>1 sztuka.</w:t>
      </w:r>
    </w:p>
    <w:p w14:paraId="6D079AA5" w14:textId="77777777" w:rsidR="00887E4F" w:rsidRPr="00887E4F" w:rsidRDefault="00887E4F" w:rsidP="0082240F">
      <w:pPr>
        <w:spacing w:after="160" w:line="259" w:lineRule="auto"/>
        <w:rPr>
          <w:rFonts w:cstheme="minorHAnsi"/>
          <w:sz w:val="22"/>
          <w:szCs w:val="22"/>
        </w:rPr>
      </w:pPr>
    </w:p>
    <w:p w14:paraId="602FFC97" w14:textId="114E9BA1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CZĘŚĆ B</w:t>
      </w:r>
    </w:p>
    <w:p w14:paraId="2BFA2963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Moduł telemechaniki</w:t>
      </w:r>
    </w:p>
    <w:p w14:paraId="37129075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CPV:</w:t>
      </w:r>
      <w:r w:rsidRPr="00887E4F">
        <w:rPr>
          <w:rFonts w:cstheme="minorHAnsi"/>
          <w:sz w:val="22"/>
          <w:szCs w:val="22"/>
        </w:rPr>
        <w:br/>
        <w:t>32441200-8 – Sprzęt telemetrii i sterowania</w:t>
      </w:r>
      <w:r w:rsidRPr="00887E4F">
        <w:rPr>
          <w:rFonts w:cstheme="minorHAnsi"/>
          <w:sz w:val="22"/>
          <w:szCs w:val="22"/>
        </w:rPr>
        <w:br/>
        <w:t>32573000-0 – Systemy sterowania komunikacją</w:t>
      </w:r>
    </w:p>
    <w:p w14:paraId="5E3CBC02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Opis funkcjonalny</w:t>
      </w:r>
    </w:p>
    <w:p w14:paraId="5B057AF5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Przedmiotem zamówienia jest dostawa zaawansowanego modułu telemechaniki przeznaczonego do zarządzania komunikacją oraz sterowaniem elementami instalacji energetycznej.</w:t>
      </w:r>
    </w:p>
    <w:p w14:paraId="78CCFCA4" w14:textId="77777777" w:rsidR="00887E4F" w:rsidRDefault="00887E4F" w:rsidP="0082240F">
      <w:pPr>
        <w:spacing w:after="160" w:line="259" w:lineRule="auto"/>
        <w:rPr>
          <w:rFonts w:cstheme="minorHAnsi"/>
          <w:sz w:val="22"/>
          <w:szCs w:val="22"/>
        </w:rPr>
      </w:pPr>
    </w:p>
    <w:p w14:paraId="7C4AE7DC" w14:textId="7D95D9AF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Moduł telemechaniki pełni funkcję nadrzędnego systemu komunikacyjnego oraz sterującego dla infrastruktury energetycznej, w szczególności dla:</w:t>
      </w:r>
    </w:p>
    <w:p w14:paraId="60ADE179" w14:textId="77777777" w:rsidR="0082240F" w:rsidRPr="00887E4F" w:rsidRDefault="0082240F" w:rsidP="0082240F">
      <w:pPr>
        <w:numPr>
          <w:ilvl w:val="0"/>
          <w:numId w:val="44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falowników instalacji fotowoltaicznej,</w:t>
      </w:r>
    </w:p>
    <w:p w14:paraId="09AFD738" w14:textId="77777777" w:rsidR="0082240F" w:rsidRPr="00887E4F" w:rsidRDefault="0082240F" w:rsidP="0082240F">
      <w:pPr>
        <w:numPr>
          <w:ilvl w:val="0"/>
          <w:numId w:val="44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systemu blokady wypływu energii do sieci,</w:t>
      </w:r>
    </w:p>
    <w:p w14:paraId="39E04747" w14:textId="77777777" w:rsidR="0082240F" w:rsidRPr="00887E4F" w:rsidRDefault="0082240F" w:rsidP="0082240F">
      <w:pPr>
        <w:numPr>
          <w:ilvl w:val="0"/>
          <w:numId w:val="44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sterowników systemów nawadniania,</w:t>
      </w:r>
    </w:p>
    <w:p w14:paraId="6C1B30A7" w14:textId="77777777" w:rsidR="0082240F" w:rsidRPr="00887E4F" w:rsidRDefault="0082240F" w:rsidP="0082240F">
      <w:pPr>
        <w:numPr>
          <w:ilvl w:val="0"/>
          <w:numId w:val="44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systemów monitoringu i pomiarów środowiskowych.</w:t>
      </w:r>
    </w:p>
    <w:p w14:paraId="6A2669E8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>Wymagania funkcjonalne</w:t>
      </w:r>
    </w:p>
    <w:p w14:paraId="5EB9D135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Moduł telemechaniki powinien zapewniać:</w:t>
      </w:r>
    </w:p>
    <w:p w14:paraId="199BB59F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szybką i niezawodną komunikację pomiędzy elementami instalacji energetycznej,</w:t>
      </w:r>
    </w:p>
    <w:p w14:paraId="059366AA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integrację systemu blokady wypływu energii z systemem sterowania falownikami,</w:t>
      </w:r>
    </w:p>
    <w:p w14:paraId="02D62954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możliwość akwizycji danych pomiarowych ze środowiska pracy instalacji,</w:t>
      </w:r>
    </w:p>
    <w:p w14:paraId="6CFC3D60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przetwarzanie danych pomiarowych i realizację algorytmów sterowania ograniczających moc generacji,</w:t>
      </w:r>
    </w:p>
    <w:p w14:paraId="23CB7F1E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zdolność reagowania w bardzo krótkim czasie na zmiany warunków pracy instalacji,</w:t>
      </w:r>
    </w:p>
    <w:p w14:paraId="50D87A63" w14:textId="77777777" w:rsidR="0082240F" w:rsidRPr="00887E4F" w:rsidRDefault="0082240F" w:rsidP="0082240F">
      <w:pPr>
        <w:numPr>
          <w:ilvl w:val="0"/>
          <w:numId w:val="45"/>
        </w:num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możliwość współpracy z systemem nadzorczym lub interfejsem operatora systemu dystrybucyjnego, jeżeli będzie to wymagane.</w:t>
      </w:r>
    </w:p>
    <w:p w14:paraId="1BDC15AA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sz w:val="22"/>
          <w:szCs w:val="22"/>
        </w:rPr>
        <w:t>System telemechaniki powinien umożliwiać realizację algorytmów zarządzania energią w czasie rzeczywistym oraz zapewniać stabilną pracę systemu energetycznego.</w:t>
      </w:r>
    </w:p>
    <w:p w14:paraId="287CAAA5" w14:textId="6010B77E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  <w:r w:rsidRPr="00887E4F">
        <w:rPr>
          <w:rFonts w:cstheme="minorHAnsi"/>
          <w:b/>
          <w:bCs/>
          <w:sz w:val="22"/>
          <w:szCs w:val="22"/>
        </w:rPr>
        <w:t xml:space="preserve">Ilość: </w:t>
      </w:r>
      <w:r w:rsidRPr="00887E4F">
        <w:rPr>
          <w:rFonts w:cstheme="minorHAnsi"/>
          <w:sz w:val="22"/>
          <w:szCs w:val="22"/>
        </w:rPr>
        <w:t>1 sztuka.</w:t>
      </w:r>
    </w:p>
    <w:p w14:paraId="7A994055" w14:textId="77777777" w:rsidR="0082240F" w:rsidRPr="00887E4F" w:rsidRDefault="0082240F" w:rsidP="0082240F">
      <w:pPr>
        <w:spacing w:after="160" w:line="259" w:lineRule="auto"/>
        <w:rPr>
          <w:rFonts w:cstheme="minorHAnsi"/>
          <w:sz w:val="22"/>
          <w:szCs w:val="22"/>
        </w:rPr>
      </w:pPr>
    </w:p>
    <w:p w14:paraId="56200F31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CZĘŚĆ C</w:t>
      </w:r>
    </w:p>
    <w:p w14:paraId="26F3BA98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Kabel średniego napięcia</w:t>
      </w:r>
    </w:p>
    <w:p w14:paraId="6F4A335B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CPV: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br/>
        <w:t>31321000-2 – Linie energetyczne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br/>
        <w:t>31321200-4 – Kable niskiego i średniego napięcia</w:t>
      </w:r>
    </w:p>
    <w:p w14:paraId="0CA1179B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Opis funkcjonalny</w:t>
      </w:r>
    </w:p>
    <w:p w14:paraId="1B135E5E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Przedmiotem zamówienia jest dostawa kabla elektroenergetycznego średniego napięcia przeznaczonego do budowy wewnętrznej infrastruktury dystrybucyjnej energii elektrycznej na terenie instalacji.</w:t>
      </w:r>
    </w:p>
    <w:p w14:paraId="5117F372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Zmiana topologii instalacji elektroenergetycznej polegająca na odejściu od jednej centralnej stacji transformatorowej przekazującej energię do sieci elektroenergetycznej na rzecz lokalnego wykorzystania energii wymaga zastosowania odpowiednio zaprojektowanej wewnętrznej sieci dystrybucyjnej.</w:t>
      </w:r>
    </w:p>
    <w:p w14:paraId="1EE33834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 związku z rozległym charakterem obszaru instalacji oraz koniecznością zasilania infrastruktury technicznej rozmieszczonej na terenie plantacji o powierzchni około 2 ha, zastosowanie kabla średniego napięcia o dużym przekroju jest uzasadnione technicznie.</w:t>
      </w:r>
    </w:p>
    <w:p w14:paraId="0DEFE9ED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lastRenderedPageBreak/>
        <w:t>Zastosowanie kabla o dużym przekroju przewodów umożliwia:</w:t>
      </w:r>
    </w:p>
    <w:p w14:paraId="47EDE411" w14:textId="77777777" w:rsidR="0082240F" w:rsidRPr="00887E4F" w:rsidRDefault="0082240F" w:rsidP="0082240F">
      <w:pPr>
        <w:numPr>
          <w:ilvl w:val="0"/>
          <w:numId w:val="46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ograniczenie strat przesyłowych,</w:t>
      </w:r>
    </w:p>
    <w:p w14:paraId="0C533825" w14:textId="77777777" w:rsidR="0082240F" w:rsidRPr="00887E4F" w:rsidRDefault="0082240F" w:rsidP="0082240F">
      <w:pPr>
        <w:numPr>
          <w:ilvl w:val="0"/>
          <w:numId w:val="46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minimalizację spadków napięcia,</w:t>
      </w:r>
    </w:p>
    <w:p w14:paraId="6F9DA05B" w14:textId="77777777" w:rsidR="0082240F" w:rsidRPr="00887E4F" w:rsidRDefault="0082240F" w:rsidP="0082240F">
      <w:pPr>
        <w:numPr>
          <w:ilvl w:val="0"/>
          <w:numId w:val="46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stabilną pracę instalacji energetycznej na dużej powierzchni.</w:t>
      </w:r>
    </w:p>
    <w:p w14:paraId="0D1DB6C0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Kabel będzie stanowił element infrastruktury łączącej system telemechaniki z obwodami zasilającymi pompy wody oraz umożliwi bezpieczne doprowadzenie energii do lokalnego punktu odbiorczego Zamawiającego w warunkach terenowych.</w:t>
      </w:r>
    </w:p>
    <w:p w14:paraId="47F8A89C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Minimalne wymagania techniczne</w:t>
      </w:r>
    </w:p>
    <w:p w14:paraId="29693FBE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Kabel elektroenergetyczny średniego napięcia:</w:t>
      </w:r>
    </w:p>
    <w:p w14:paraId="45BF120C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typ: kabel jednożyłowy typu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YAKXS 1x500 mm² lub równoważny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,</w:t>
      </w:r>
    </w:p>
    <w:p w14:paraId="4E242EC6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przekrój żyły roboczej: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500 mm²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,</w:t>
      </w:r>
    </w:p>
    <w:p w14:paraId="5D2348A8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przeznaczony do budowy linii kablowych średniego napięcia,</w:t>
      </w:r>
    </w:p>
    <w:p w14:paraId="2DA72FFF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przystosowany do pracy w instalacjach elektroenergetycznych pracujących w warunkach terenowych,</w:t>
      </w:r>
    </w:p>
    <w:p w14:paraId="01E910BF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umożliwiający budowę wewnętrznej infrastruktury dystrybucyjnej energii elektrycznej,</w:t>
      </w:r>
    </w:p>
    <w:p w14:paraId="65343152" w14:textId="77777777" w:rsidR="0082240F" w:rsidRPr="00887E4F" w:rsidRDefault="0082240F" w:rsidP="0082240F">
      <w:pPr>
        <w:numPr>
          <w:ilvl w:val="0"/>
          <w:numId w:val="47"/>
        </w:num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spełniający wymagania odpowiednich norm dla kabli elektroenergetycznych średniego napięcia (PN-EN lub równoważne).</w:t>
      </w:r>
    </w:p>
    <w:p w14:paraId="407A014B" w14:textId="40D1D722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Ilość: 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Łączna długość kabla: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4000 metrów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.</w:t>
      </w:r>
    </w:p>
    <w:p w14:paraId="535E09D8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</w:p>
    <w:p w14:paraId="4A1D0806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Wszystkie wskazane w niniejszym opisie normy należy rozumieć jako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„normy lub równoważne"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 w rozumieniu przepisów ustawy Prawo zamówień publicznych.</w:t>
      </w:r>
    </w:p>
    <w:p w14:paraId="49F3EA00" w14:textId="6B051956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Jeżeli w opisie przedmiotu zamówienia pojawia się odniesienie do rozwiązań funkcjonujących na rynku lub do określonego typu urządzenia, należy je traktować jako </w:t>
      </w: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„typu ... lub równoważne"</w:t>
      </w:r>
      <w:r w:rsidRPr="00887E4F">
        <w:rPr>
          <w:rFonts w:cstheme="minorHAnsi"/>
          <w:kern w:val="2"/>
          <w:sz w:val="22"/>
          <w:szCs w:val="22"/>
          <w14:ligatures w14:val="standardContextual"/>
        </w:rPr>
        <w:t>, co oznacza, że Zamawiający dopuszcza zastosowanie rozwiązań równoważnych pod względem technicznym, funkcjonalnym i jakościowym.</w:t>
      </w:r>
    </w:p>
    <w:p w14:paraId="74C2365F" w14:textId="77777777" w:rsidR="0082240F" w:rsidRPr="00887E4F" w:rsidRDefault="0082240F" w:rsidP="0082240F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b/>
          <w:bCs/>
          <w:kern w:val="2"/>
          <w:sz w:val="22"/>
          <w:szCs w:val="22"/>
          <w14:ligatures w14:val="standardContextual"/>
        </w:rPr>
        <w:t>3. Wymagania dotyczące równoważności</w:t>
      </w:r>
    </w:p>
    <w:p w14:paraId="59ACCF79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 przypadku zaoferowania rozwiązań równoważnych Wykonawca zobowiązany jest wykazać, że oferowane urządzenia lub materiały posiadają parametry techniczne, funkcjonalne oraz jakościowe nie gorsze niż opisane w niniejszym OPZ.</w:t>
      </w:r>
    </w:p>
    <w:p w14:paraId="55A043A0" w14:textId="77777777" w:rsidR="0082240F" w:rsidRPr="00887E4F" w:rsidRDefault="0082240F" w:rsidP="0082240F">
      <w:pPr>
        <w:spacing w:after="160" w:line="259" w:lineRule="auto"/>
        <w:rPr>
          <w:rFonts w:cstheme="minorHAnsi"/>
          <w:kern w:val="2"/>
          <w:sz w:val="22"/>
          <w:szCs w:val="22"/>
          <w14:ligatures w14:val="standardContextual"/>
        </w:rPr>
      </w:pPr>
      <w:r w:rsidRPr="00887E4F">
        <w:rPr>
          <w:rFonts w:cstheme="minorHAnsi"/>
          <w:kern w:val="2"/>
          <w:sz w:val="22"/>
          <w:szCs w:val="22"/>
          <w14:ligatures w14:val="standardContextual"/>
        </w:rPr>
        <w:t>W celu potwierdzenia równoważności Wykonawca przedstawi dokumentację techniczną, karty katalogowe lub inne dokumenty potwierdzające parametry oferowanych produktów.</w:t>
      </w:r>
    </w:p>
    <w:p w14:paraId="72DB594F" w14:textId="77777777" w:rsidR="00997A83" w:rsidRPr="00887E4F" w:rsidRDefault="00997A83" w:rsidP="00997A83">
      <w:pPr>
        <w:rPr>
          <w:rFonts w:cstheme="minorHAnsi"/>
          <w:color w:val="EE0000"/>
          <w:sz w:val="22"/>
          <w:szCs w:val="22"/>
        </w:rPr>
      </w:pPr>
    </w:p>
    <w:p w14:paraId="00FB552B" w14:textId="77777777" w:rsidR="00E63C89" w:rsidRPr="00887E4F" w:rsidRDefault="00E63C89" w:rsidP="00326C76">
      <w:pPr>
        <w:spacing w:line="276" w:lineRule="auto"/>
        <w:rPr>
          <w:rFonts w:cstheme="minorHAnsi"/>
          <w:color w:val="EE0000"/>
          <w:sz w:val="22"/>
          <w:szCs w:val="22"/>
        </w:rPr>
      </w:pPr>
    </w:p>
    <w:p w14:paraId="088DE842" w14:textId="77777777" w:rsidR="00E63C89" w:rsidRPr="00887E4F" w:rsidRDefault="00E63C89" w:rsidP="00326C76">
      <w:pPr>
        <w:spacing w:line="276" w:lineRule="auto"/>
        <w:rPr>
          <w:rFonts w:cstheme="minorHAnsi"/>
          <w:color w:val="EE0000"/>
          <w:sz w:val="22"/>
          <w:szCs w:val="22"/>
        </w:rPr>
      </w:pPr>
    </w:p>
    <w:sectPr w:rsidR="00E63C89" w:rsidRPr="00887E4F" w:rsidSect="001D13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4661" w14:textId="77777777" w:rsidR="00E40309" w:rsidRDefault="00E40309" w:rsidP="006720AD">
      <w:r>
        <w:separator/>
      </w:r>
    </w:p>
  </w:endnote>
  <w:endnote w:type="continuationSeparator" w:id="0">
    <w:p w14:paraId="23B61D68" w14:textId="77777777" w:rsidR="00E40309" w:rsidRDefault="00E40309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B7DE" w14:textId="77777777" w:rsidR="00CE0274" w:rsidRDefault="00C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D1AE" w14:textId="77777777" w:rsidR="00CE0274" w:rsidRDefault="00CE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F630" w14:textId="77777777" w:rsidR="00E40309" w:rsidRDefault="00E40309" w:rsidP="006720AD">
      <w:r>
        <w:separator/>
      </w:r>
    </w:p>
  </w:footnote>
  <w:footnote w:type="continuationSeparator" w:id="0">
    <w:p w14:paraId="1FFCFE08" w14:textId="77777777" w:rsidR="00E40309" w:rsidRDefault="00E40309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70A" w14:textId="77777777" w:rsidR="00CE0274" w:rsidRDefault="00CE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46E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5B1B9E5" wp14:editId="1E356E58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2D6EBE2" wp14:editId="0A23DC46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CC6327D" wp14:editId="7A8BB3B3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92250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7AC6334C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20AADB74" w14:textId="77777777" w:rsidR="00402228" w:rsidRPr="002E45E2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FA4677B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E14" w14:textId="77777777" w:rsidR="00CE0274" w:rsidRDefault="00CE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8D5"/>
    <w:multiLevelType w:val="hybridMultilevel"/>
    <w:tmpl w:val="3DE86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D30EC"/>
    <w:multiLevelType w:val="multilevel"/>
    <w:tmpl w:val="30F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5C94"/>
    <w:multiLevelType w:val="multilevel"/>
    <w:tmpl w:val="DD7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A1029"/>
    <w:multiLevelType w:val="multilevel"/>
    <w:tmpl w:val="465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9A6261"/>
    <w:multiLevelType w:val="hybridMultilevel"/>
    <w:tmpl w:val="7708EE2C"/>
    <w:lvl w:ilvl="0" w:tplc="AF2CD1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372C1"/>
    <w:multiLevelType w:val="multilevel"/>
    <w:tmpl w:val="5AE2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D7084"/>
    <w:multiLevelType w:val="multilevel"/>
    <w:tmpl w:val="ACF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E539F"/>
    <w:multiLevelType w:val="multilevel"/>
    <w:tmpl w:val="887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85FA4"/>
    <w:multiLevelType w:val="multilevel"/>
    <w:tmpl w:val="C88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8463B"/>
    <w:multiLevelType w:val="multilevel"/>
    <w:tmpl w:val="29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34D29"/>
    <w:multiLevelType w:val="multilevel"/>
    <w:tmpl w:val="D9A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B0A6A"/>
    <w:multiLevelType w:val="hybridMultilevel"/>
    <w:tmpl w:val="6E3EE1F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77BF7"/>
    <w:multiLevelType w:val="multilevel"/>
    <w:tmpl w:val="F51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6E1CB5"/>
    <w:multiLevelType w:val="multilevel"/>
    <w:tmpl w:val="EDA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892BF9"/>
    <w:multiLevelType w:val="multilevel"/>
    <w:tmpl w:val="45E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34F7B"/>
    <w:multiLevelType w:val="multilevel"/>
    <w:tmpl w:val="C7B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04B05"/>
    <w:multiLevelType w:val="multilevel"/>
    <w:tmpl w:val="50DA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CD3670"/>
    <w:multiLevelType w:val="multilevel"/>
    <w:tmpl w:val="5FAE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30FA1220"/>
    <w:multiLevelType w:val="multilevel"/>
    <w:tmpl w:val="1AA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891E59"/>
    <w:multiLevelType w:val="multilevel"/>
    <w:tmpl w:val="00C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E340B"/>
    <w:multiLevelType w:val="hybridMultilevel"/>
    <w:tmpl w:val="B3B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4B39BA"/>
    <w:multiLevelType w:val="hybridMultilevel"/>
    <w:tmpl w:val="C36E08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35E3237"/>
    <w:multiLevelType w:val="multilevel"/>
    <w:tmpl w:val="63B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F5493C"/>
    <w:multiLevelType w:val="multilevel"/>
    <w:tmpl w:val="A0B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B4CA5"/>
    <w:multiLevelType w:val="multilevel"/>
    <w:tmpl w:val="316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371002"/>
    <w:multiLevelType w:val="multilevel"/>
    <w:tmpl w:val="98D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9256C"/>
    <w:multiLevelType w:val="multilevel"/>
    <w:tmpl w:val="AE3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819A1"/>
    <w:multiLevelType w:val="hybridMultilevel"/>
    <w:tmpl w:val="76DEA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C1796C"/>
    <w:multiLevelType w:val="multilevel"/>
    <w:tmpl w:val="05D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F1147"/>
    <w:multiLevelType w:val="multilevel"/>
    <w:tmpl w:val="F15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15894"/>
    <w:multiLevelType w:val="multilevel"/>
    <w:tmpl w:val="E7F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75576"/>
    <w:multiLevelType w:val="hybridMultilevel"/>
    <w:tmpl w:val="B9C0812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440D0"/>
    <w:multiLevelType w:val="multilevel"/>
    <w:tmpl w:val="3F2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BA6C22"/>
    <w:multiLevelType w:val="multilevel"/>
    <w:tmpl w:val="4E74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0E68C8"/>
    <w:multiLevelType w:val="multilevel"/>
    <w:tmpl w:val="06F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1B417E"/>
    <w:multiLevelType w:val="multilevel"/>
    <w:tmpl w:val="706A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F721B0"/>
    <w:multiLevelType w:val="multilevel"/>
    <w:tmpl w:val="2050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56D14"/>
    <w:multiLevelType w:val="multilevel"/>
    <w:tmpl w:val="F286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741B4"/>
    <w:multiLevelType w:val="multilevel"/>
    <w:tmpl w:val="AA9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3628">
    <w:abstractNumId w:val="3"/>
  </w:num>
  <w:num w:numId="2" w16cid:durableId="2126120557">
    <w:abstractNumId w:val="27"/>
  </w:num>
  <w:num w:numId="3" w16cid:durableId="1654748850">
    <w:abstractNumId w:val="25"/>
  </w:num>
  <w:num w:numId="4" w16cid:durableId="927347881">
    <w:abstractNumId w:val="7"/>
  </w:num>
  <w:num w:numId="5" w16cid:durableId="1395081525">
    <w:abstractNumId w:val="45"/>
  </w:num>
  <w:num w:numId="6" w16cid:durableId="2073890898">
    <w:abstractNumId w:val="32"/>
  </w:num>
  <w:num w:numId="7" w16cid:durableId="314574809">
    <w:abstractNumId w:val="21"/>
  </w:num>
  <w:num w:numId="8" w16cid:durableId="34934362">
    <w:abstractNumId w:val="6"/>
  </w:num>
  <w:num w:numId="9" w16cid:durableId="1741322536">
    <w:abstractNumId w:val="24"/>
  </w:num>
  <w:num w:numId="10" w16cid:durableId="1982033697">
    <w:abstractNumId w:val="14"/>
  </w:num>
  <w:num w:numId="11" w16cid:durableId="746196598">
    <w:abstractNumId w:val="38"/>
  </w:num>
  <w:num w:numId="12" w16cid:durableId="380860385">
    <w:abstractNumId w:val="16"/>
  </w:num>
  <w:num w:numId="13" w16cid:durableId="900021627">
    <w:abstractNumId w:val="28"/>
  </w:num>
  <w:num w:numId="14" w16cid:durableId="86969859">
    <w:abstractNumId w:val="33"/>
  </w:num>
  <w:num w:numId="15" w16cid:durableId="1028338407">
    <w:abstractNumId w:val="31"/>
  </w:num>
  <w:num w:numId="16" w16cid:durableId="977687607">
    <w:abstractNumId w:val="9"/>
  </w:num>
  <w:num w:numId="17" w16cid:durableId="1577471452">
    <w:abstractNumId w:val="12"/>
  </w:num>
  <w:num w:numId="18" w16cid:durableId="2014214422">
    <w:abstractNumId w:val="20"/>
  </w:num>
  <w:num w:numId="19" w16cid:durableId="587546604">
    <w:abstractNumId w:val="4"/>
  </w:num>
  <w:num w:numId="20" w16cid:durableId="55858459">
    <w:abstractNumId w:val="46"/>
  </w:num>
  <w:num w:numId="21" w16cid:durableId="62914706">
    <w:abstractNumId w:val="29"/>
  </w:num>
  <w:num w:numId="22" w16cid:durableId="2038850274">
    <w:abstractNumId w:val="11"/>
  </w:num>
  <w:num w:numId="23" w16cid:durableId="1912739789">
    <w:abstractNumId w:val="26"/>
  </w:num>
  <w:num w:numId="24" w16cid:durableId="1122724412">
    <w:abstractNumId w:val="5"/>
  </w:num>
  <w:num w:numId="25" w16cid:durableId="725419221">
    <w:abstractNumId w:val="0"/>
  </w:num>
  <w:num w:numId="26" w16cid:durableId="1133063415">
    <w:abstractNumId w:val="34"/>
  </w:num>
  <w:num w:numId="27" w16cid:durableId="726339036">
    <w:abstractNumId w:val="30"/>
  </w:num>
  <w:num w:numId="28" w16cid:durableId="303853024">
    <w:abstractNumId w:val="36"/>
  </w:num>
  <w:num w:numId="29" w16cid:durableId="1801529404">
    <w:abstractNumId w:val="43"/>
  </w:num>
  <w:num w:numId="30" w16cid:durableId="825437156">
    <w:abstractNumId w:val="22"/>
  </w:num>
  <w:num w:numId="31" w16cid:durableId="1882814375">
    <w:abstractNumId w:val="8"/>
  </w:num>
  <w:num w:numId="32" w16cid:durableId="80028860">
    <w:abstractNumId w:val="13"/>
  </w:num>
  <w:num w:numId="33" w16cid:durableId="1001273433">
    <w:abstractNumId w:val="39"/>
  </w:num>
  <w:num w:numId="34" w16cid:durableId="721904025">
    <w:abstractNumId w:val="41"/>
  </w:num>
  <w:num w:numId="35" w16cid:durableId="42755896">
    <w:abstractNumId w:val="40"/>
  </w:num>
  <w:num w:numId="36" w16cid:durableId="1920941529">
    <w:abstractNumId w:val="10"/>
  </w:num>
  <w:num w:numId="37" w16cid:durableId="922957547">
    <w:abstractNumId w:val="35"/>
  </w:num>
  <w:num w:numId="38" w16cid:durableId="245311973">
    <w:abstractNumId w:val="2"/>
  </w:num>
  <w:num w:numId="39" w16cid:durableId="55982968">
    <w:abstractNumId w:val="42"/>
  </w:num>
  <w:num w:numId="40" w16cid:durableId="1276907167">
    <w:abstractNumId w:val="19"/>
  </w:num>
  <w:num w:numId="41" w16cid:durableId="410397574">
    <w:abstractNumId w:val="23"/>
  </w:num>
  <w:num w:numId="42" w16cid:durableId="1294286782">
    <w:abstractNumId w:val="37"/>
  </w:num>
  <w:num w:numId="43" w16cid:durableId="1397824103">
    <w:abstractNumId w:val="18"/>
  </w:num>
  <w:num w:numId="44" w16cid:durableId="1795951823">
    <w:abstractNumId w:val="17"/>
  </w:num>
  <w:num w:numId="45" w16cid:durableId="152843710">
    <w:abstractNumId w:val="1"/>
  </w:num>
  <w:num w:numId="46" w16cid:durableId="352534646">
    <w:abstractNumId w:val="44"/>
  </w:num>
  <w:num w:numId="47" w16cid:durableId="6423883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2EF8"/>
    <w:rsid w:val="0000555E"/>
    <w:rsid w:val="00011AE3"/>
    <w:rsid w:val="00021493"/>
    <w:rsid w:val="000238BB"/>
    <w:rsid w:val="00032016"/>
    <w:rsid w:val="0003303A"/>
    <w:rsid w:val="00037EBE"/>
    <w:rsid w:val="00043B20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3E5B"/>
    <w:rsid w:val="000C5802"/>
    <w:rsid w:val="000D044D"/>
    <w:rsid w:val="000E7B6A"/>
    <w:rsid w:val="000F0E23"/>
    <w:rsid w:val="001019B6"/>
    <w:rsid w:val="00113DA7"/>
    <w:rsid w:val="00121712"/>
    <w:rsid w:val="001219E4"/>
    <w:rsid w:val="00131C75"/>
    <w:rsid w:val="00135ED3"/>
    <w:rsid w:val="00136289"/>
    <w:rsid w:val="00136846"/>
    <w:rsid w:val="001443F2"/>
    <w:rsid w:val="00144924"/>
    <w:rsid w:val="00170243"/>
    <w:rsid w:val="00172166"/>
    <w:rsid w:val="001729E8"/>
    <w:rsid w:val="00177783"/>
    <w:rsid w:val="00177E9E"/>
    <w:rsid w:val="00180831"/>
    <w:rsid w:val="00181836"/>
    <w:rsid w:val="00182170"/>
    <w:rsid w:val="00183D9D"/>
    <w:rsid w:val="001A139B"/>
    <w:rsid w:val="001B21F8"/>
    <w:rsid w:val="001B6166"/>
    <w:rsid w:val="001D1195"/>
    <w:rsid w:val="001D13D1"/>
    <w:rsid w:val="001D54E6"/>
    <w:rsid w:val="001E27EA"/>
    <w:rsid w:val="001E2893"/>
    <w:rsid w:val="001E4C5D"/>
    <w:rsid w:val="00203BD2"/>
    <w:rsid w:val="00211F24"/>
    <w:rsid w:val="00214C78"/>
    <w:rsid w:val="002246FE"/>
    <w:rsid w:val="00237463"/>
    <w:rsid w:val="00270715"/>
    <w:rsid w:val="00273354"/>
    <w:rsid w:val="00274BF3"/>
    <w:rsid w:val="00277BED"/>
    <w:rsid w:val="00280111"/>
    <w:rsid w:val="00281B14"/>
    <w:rsid w:val="00286028"/>
    <w:rsid w:val="002944EB"/>
    <w:rsid w:val="00294CE5"/>
    <w:rsid w:val="002A597C"/>
    <w:rsid w:val="002A6315"/>
    <w:rsid w:val="002B03A4"/>
    <w:rsid w:val="002B350C"/>
    <w:rsid w:val="002B68AC"/>
    <w:rsid w:val="002C6808"/>
    <w:rsid w:val="002D6E83"/>
    <w:rsid w:val="002E44B8"/>
    <w:rsid w:val="002E666B"/>
    <w:rsid w:val="002E6DE4"/>
    <w:rsid w:val="002E7C1D"/>
    <w:rsid w:val="002F1362"/>
    <w:rsid w:val="002F18CF"/>
    <w:rsid w:val="002F3465"/>
    <w:rsid w:val="002F639E"/>
    <w:rsid w:val="003162C4"/>
    <w:rsid w:val="00317FA2"/>
    <w:rsid w:val="00326C76"/>
    <w:rsid w:val="00341515"/>
    <w:rsid w:val="00357A25"/>
    <w:rsid w:val="00361DC1"/>
    <w:rsid w:val="00373611"/>
    <w:rsid w:val="00377DF7"/>
    <w:rsid w:val="00381C97"/>
    <w:rsid w:val="00382407"/>
    <w:rsid w:val="003A01BE"/>
    <w:rsid w:val="003A749C"/>
    <w:rsid w:val="003B2394"/>
    <w:rsid w:val="003B483A"/>
    <w:rsid w:val="003C3F0A"/>
    <w:rsid w:val="003C52F8"/>
    <w:rsid w:val="003D1D60"/>
    <w:rsid w:val="003D3C51"/>
    <w:rsid w:val="003D5971"/>
    <w:rsid w:val="003D6AF4"/>
    <w:rsid w:val="003D6AF7"/>
    <w:rsid w:val="003E1731"/>
    <w:rsid w:val="003E7EA2"/>
    <w:rsid w:val="003F386F"/>
    <w:rsid w:val="003F7A1E"/>
    <w:rsid w:val="00402228"/>
    <w:rsid w:val="004027D0"/>
    <w:rsid w:val="00415A11"/>
    <w:rsid w:val="00416F37"/>
    <w:rsid w:val="0042390B"/>
    <w:rsid w:val="00424E8D"/>
    <w:rsid w:val="004256C5"/>
    <w:rsid w:val="00430B99"/>
    <w:rsid w:val="00437CF4"/>
    <w:rsid w:val="00451401"/>
    <w:rsid w:val="00457B84"/>
    <w:rsid w:val="00462D70"/>
    <w:rsid w:val="00483282"/>
    <w:rsid w:val="004A3AD8"/>
    <w:rsid w:val="004C302B"/>
    <w:rsid w:val="004D07B1"/>
    <w:rsid w:val="004E622E"/>
    <w:rsid w:val="004E760E"/>
    <w:rsid w:val="0050224F"/>
    <w:rsid w:val="00504E05"/>
    <w:rsid w:val="005134D8"/>
    <w:rsid w:val="00514719"/>
    <w:rsid w:val="005155D5"/>
    <w:rsid w:val="00531C86"/>
    <w:rsid w:val="00532D23"/>
    <w:rsid w:val="0053355F"/>
    <w:rsid w:val="00533E41"/>
    <w:rsid w:val="0054058E"/>
    <w:rsid w:val="005407ED"/>
    <w:rsid w:val="00542B97"/>
    <w:rsid w:val="00544E7E"/>
    <w:rsid w:val="00582FE1"/>
    <w:rsid w:val="005904D7"/>
    <w:rsid w:val="005937F9"/>
    <w:rsid w:val="00595777"/>
    <w:rsid w:val="005A4411"/>
    <w:rsid w:val="005B235E"/>
    <w:rsid w:val="005B64B8"/>
    <w:rsid w:val="005C2E2D"/>
    <w:rsid w:val="005C5024"/>
    <w:rsid w:val="005E31D1"/>
    <w:rsid w:val="005E6A1E"/>
    <w:rsid w:val="005E767D"/>
    <w:rsid w:val="00602891"/>
    <w:rsid w:val="0061134C"/>
    <w:rsid w:val="00615E35"/>
    <w:rsid w:val="006175D3"/>
    <w:rsid w:val="00617AF3"/>
    <w:rsid w:val="006344CB"/>
    <w:rsid w:val="00640098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871FD"/>
    <w:rsid w:val="006A189A"/>
    <w:rsid w:val="006A1FC4"/>
    <w:rsid w:val="006B0C49"/>
    <w:rsid w:val="006B2927"/>
    <w:rsid w:val="006B6CD4"/>
    <w:rsid w:val="006C32AD"/>
    <w:rsid w:val="006C7779"/>
    <w:rsid w:val="006D1936"/>
    <w:rsid w:val="006E3BDF"/>
    <w:rsid w:val="006E54AF"/>
    <w:rsid w:val="006F5E76"/>
    <w:rsid w:val="006F644D"/>
    <w:rsid w:val="00705931"/>
    <w:rsid w:val="007110E0"/>
    <w:rsid w:val="00711E71"/>
    <w:rsid w:val="00726370"/>
    <w:rsid w:val="00732681"/>
    <w:rsid w:val="00743D38"/>
    <w:rsid w:val="007452BA"/>
    <w:rsid w:val="0074541C"/>
    <w:rsid w:val="007529E4"/>
    <w:rsid w:val="00766207"/>
    <w:rsid w:val="007701FE"/>
    <w:rsid w:val="00773869"/>
    <w:rsid w:val="00783D94"/>
    <w:rsid w:val="00784AB5"/>
    <w:rsid w:val="00785C50"/>
    <w:rsid w:val="007A0E00"/>
    <w:rsid w:val="007A2AEE"/>
    <w:rsid w:val="007A5755"/>
    <w:rsid w:val="007B7DA1"/>
    <w:rsid w:val="007D0877"/>
    <w:rsid w:val="007D5FA9"/>
    <w:rsid w:val="007E2620"/>
    <w:rsid w:val="007E56AA"/>
    <w:rsid w:val="007E7067"/>
    <w:rsid w:val="008043B2"/>
    <w:rsid w:val="0082240F"/>
    <w:rsid w:val="00823A5F"/>
    <w:rsid w:val="00834645"/>
    <w:rsid w:val="00835782"/>
    <w:rsid w:val="008478CE"/>
    <w:rsid w:val="00853609"/>
    <w:rsid w:val="00854C67"/>
    <w:rsid w:val="00855B12"/>
    <w:rsid w:val="00863F08"/>
    <w:rsid w:val="008716A3"/>
    <w:rsid w:val="00880B5F"/>
    <w:rsid w:val="00881415"/>
    <w:rsid w:val="008832D4"/>
    <w:rsid w:val="00887E4F"/>
    <w:rsid w:val="008923EA"/>
    <w:rsid w:val="008A2911"/>
    <w:rsid w:val="008B0AC8"/>
    <w:rsid w:val="008C1B8F"/>
    <w:rsid w:val="008C5ADD"/>
    <w:rsid w:val="008D04DC"/>
    <w:rsid w:val="008E1BFC"/>
    <w:rsid w:val="008E3F8A"/>
    <w:rsid w:val="008E433E"/>
    <w:rsid w:val="008E56ED"/>
    <w:rsid w:val="008F2415"/>
    <w:rsid w:val="00900F17"/>
    <w:rsid w:val="00904DA7"/>
    <w:rsid w:val="009125D6"/>
    <w:rsid w:val="00914A8C"/>
    <w:rsid w:val="009245C3"/>
    <w:rsid w:val="009278C5"/>
    <w:rsid w:val="0093593F"/>
    <w:rsid w:val="00940D82"/>
    <w:rsid w:val="00942A25"/>
    <w:rsid w:val="00942AB9"/>
    <w:rsid w:val="0095070B"/>
    <w:rsid w:val="00960787"/>
    <w:rsid w:val="0096372E"/>
    <w:rsid w:val="00965959"/>
    <w:rsid w:val="009706BC"/>
    <w:rsid w:val="00980642"/>
    <w:rsid w:val="00983374"/>
    <w:rsid w:val="00986207"/>
    <w:rsid w:val="00993C89"/>
    <w:rsid w:val="00995EC7"/>
    <w:rsid w:val="00996A61"/>
    <w:rsid w:val="00997A83"/>
    <w:rsid w:val="00997E81"/>
    <w:rsid w:val="009B09E7"/>
    <w:rsid w:val="009C1B2D"/>
    <w:rsid w:val="009C2B65"/>
    <w:rsid w:val="009F08F8"/>
    <w:rsid w:val="009F5847"/>
    <w:rsid w:val="009F6A4B"/>
    <w:rsid w:val="009F7E6D"/>
    <w:rsid w:val="00A00779"/>
    <w:rsid w:val="00A01BA3"/>
    <w:rsid w:val="00A03DA8"/>
    <w:rsid w:val="00A074EC"/>
    <w:rsid w:val="00A10942"/>
    <w:rsid w:val="00A110B1"/>
    <w:rsid w:val="00A163A4"/>
    <w:rsid w:val="00A16AE6"/>
    <w:rsid w:val="00A20D3B"/>
    <w:rsid w:val="00A242DB"/>
    <w:rsid w:val="00A26CAA"/>
    <w:rsid w:val="00A30144"/>
    <w:rsid w:val="00A43E9B"/>
    <w:rsid w:val="00A447FD"/>
    <w:rsid w:val="00A4696B"/>
    <w:rsid w:val="00A514C6"/>
    <w:rsid w:val="00A519D0"/>
    <w:rsid w:val="00A560E5"/>
    <w:rsid w:val="00A7499B"/>
    <w:rsid w:val="00A76CFD"/>
    <w:rsid w:val="00A77357"/>
    <w:rsid w:val="00A77780"/>
    <w:rsid w:val="00A92A05"/>
    <w:rsid w:val="00AA660C"/>
    <w:rsid w:val="00AA729C"/>
    <w:rsid w:val="00AB31D1"/>
    <w:rsid w:val="00AB34B4"/>
    <w:rsid w:val="00AC3EF0"/>
    <w:rsid w:val="00AC76A2"/>
    <w:rsid w:val="00AD2554"/>
    <w:rsid w:val="00AD4590"/>
    <w:rsid w:val="00AD55B8"/>
    <w:rsid w:val="00AD6F37"/>
    <w:rsid w:val="00AD7946"/>
    <w:rsid w:val="00AE123D"/>
    <w:rsid w:val="00AE1401"/>
    <w:rsid w:val="00AF46D7"/>
    <w:rsid w:val="00AF63D8"/>
    <w:rsid w:val="00B070A2"/>
    <w:rsid w:val="00B1334A"/>
    <w:rsid w:val="00B22F6F"/>
    <w:rsid w:val="00B24A29"/>
    <w:rsid w:val="00B3015C"/>
    <w:rsid w:val="00B32233"/>
    <w:rsid w:val="00B324AC"/>
    <w:rsid w:val="00B32EA6"/>
    <w:rsid w:val="00B34E5B"/>
    <w:rsid w:val="00B42157"/>
    <w:rsid w:val="00B45E05"/>
    <w:rsid w:val="00B46CC3"/>
    <w:rsid w:val="00B509E2"/>
    <w:rsid w:val="00B63E5A"/>
    <w:rsid w:val="00B6515C"/>
    <w:rsid w:val="00B7480C"/>
    <w:rsid w:val="00B8015F"/>
    <w:rsid w:val="00B874CF"/>
    <w:rsid w:val="00B94FA2"/>
    <w:rsid w:val="00B97985"/>
    <w:rsid w:val="00BA12FE"/>
    <w:rsid w:val="00BA1555"/>
    <w:rsid w:val="00BA3501"/>
    <w:rsid w:val="00BB45F7"/>
    <w:rsid w:val="00BC1EE1"/>
    <w:rsid w:val="00BD5840"/>
    <w:rsid w:val="00BD6186"/>
    <w:rsid w:val="00BD6E9F"/>
    <w:rsid w:val="00BE21D1"/>
    <w:rsid w:val="00BE7840"/>
    <w:rsid w:val="00C007A8"/>
    <w:rsid w:val="00C01486"/>
    <w:rsid w:val="00C02B22"/>
    <w:rsid w:val="00C11010"/>
    <w:rsid w:val="00C110C8"/>
    <w:rsid w:val="00C116CA"/>
    <w:rsid w:val="00C20643"/>
    <w:rsid w:val="00C313F0"/>
    <w:rsid w:val="00C31A58"/>
    <w:rsid w:val="00C343DF"/>
    <w:rsid w:val="00C42375"/>
    <w:rsid w:val="00C43368"/>
    <w:rsid w:val="00C442B2"/>
    <w:rsid w:val="00C44CEE"/>
    <w:rsid w:val="00C516CE"/>
    <w:rsid w:val="00C53549"/>
    <w:rsid w:val="00C55F33"/>
    <w:rsid w:val="00C618CD"/>
    <w:rsid w:val="00C61A34"/>
    <w:rsid w:val="00C6376D"/>
    <w:rsid w:val="00C737F0"/>
    <w:rsid w:val="00C83F37"/>
    <w:rsid w:val="00C91EB1"/>
    <w:rsid w:val="00C927A2"/>
    <w:rsid w:val="00C946F2"/>
    <w:rsid w:val="00CA3EDF"/>
    <w:rsid w:val="00CA5349"/>
    <w:rsid w:val="00CB0546"/>
    <w:rsid w:val="00CB0872"/>
    <w:rsid w:val="00CB1139"/>
    <w:rsid w:val="00CC52F4"/>
    <w:rsid w:val="00CC78F8"/>
    <w:rsid w:val="00CD4CB3"/>
    <w:rsid w:val="00CD5D11"/>
    <w:rsid w:val="00CE0274"/>
    <w:rsid w:val="00CE4889"/>
    <w:rsid w:val="00D01353"/>
    <w:rsid w:val="00D071EB"/>
    <w:rsid w:val="00D168CD"/>
    <w:rsid w:val="00D16D4D"/>
    <w:rsid w:val="00D22D81"/>
    <w:rsid w:val="00D24F1C"/>
    <w:rsid w:val="00D26CC4"/>
    <w:rsid w:val="00D36574"/>
    <w:rsid w:val="00D429D0"/>
    <w:rsid w:val="00D5098E"/>
    <w:rsid w:val="00D60BC2"/>
    <w:rsid w:val="00D61355"/>
    <w:rsid w:val="00D657E5"/>
    <w:rsid w:val="00D67A40"/>
    <w:rsid w:val="00D7227A"/>
    <w:rsid w:val="00D74085"/>
    <w:rsid w:val="00D740DA"/>
    <w:rsid w:val="00D92012"/>
    <w:rsid w:val="00D952CC"/>
    <w:rsid w:val="00DA622C"/>
    <w:rsid w:val="00DB588E"/>
    <w:rsid w:val="00DD132A"/>
    <w:rsid w:val="00DD32F1"/>
    <w:rsid w:val="00DE09CB"/>
    <w:rsid w:val="00DE1D92"/>
    <w:rsid w:val="00DF1CC8"/>
    <w:rsid w:val="00DF2F08"/>
    <w:rsid w:val="00DF6773"/>
    <w:rsid w:val="00E06F17"/>
    <w:rsid w:val="00E12D98"/>
    <w:rsid w:val="00E2068E"/>
    <w:rsid w:val="00E35BD6"/>
    <w:rsid w:val="00E36F5E"/>
    <w:rsid w:val="00E40309"/>
    <w:rsid w:val="00E418B8"/>
    <w:rsid w:val="00E4350E"/>
    <w:rsid w:val="00E446A3"/>
    <w:rsid w:val="00E570F6"/>
    <w:rsid w:val="00E61674"/>
    <w:rsid w:val="00E63C89"/>
    <w:rsid w:val="00E65EB3"/>
    <w:rsid w:val="00E67E7D"/>
    <w:rsid w:val="00E76225"/>
    <w:rsid w:val="00E7744B"/>
    <w:rsid w:val="00E77CA1"/>
    <w:rsid w:val="00E82197"/>
    <w:rsid w:val="00E84C07"/>
    <w:rsid w:val="00E8657E"/>
    <w:rsid w:val="00E90EEA"/>
    <w:rsid w:val="00E9674F"/>
    <w:rsid w:val="00E97826"/>
    <w:rsid w:val="00EB54E0"/>
    <w:rsid w:val="00EB5C5F"/>
    <w:rsid w:val="00EB7DCA"/>
    <w:rsid w:val="00EC12E6"/>
    <w:rsid w:val="00EC2D93"/>
    <w:rsid w:val="00ED0B63"/>
    <w:rsid w:val="00ED2E9F"/>
    <w:rsid w:val="00ED53D7"/>
    <w:rsid w:val="00EF1366"/>
    <w:rsid w:val="00F00228"/>
    <w:rsid w:val="00F00FE5"/>
    <w:rsid w:val="00F03AE2"/>
    <w:rsid w:val="00F10308"/>
    <w:rsid w:val="00F21402"/>
    <w:rsid w:val="00F22DC8"/>
    <w:rsid w:val="00F3683D"/>
    <w:rsid w:val="00F42D59"/>
    <w:rsid w:val="00F42F2A"/>
    <w:rsid w:val="00F44C72"/>
    <w:rsid w:val="00F50B25"/>
    <w:rsid w:val="00F51ABA"/>
    <w:rsid w:val="00F52A27"/>
    <w:rsid w:val="00F5493D"/>
    <w:rsid w:val="00F576BE"/>
    <w:rsid w:val="00F740BA"/>
    <w:rsid w:val="00F76BB4"/>
    <w:rsid w:val="00F812DA"/>
    <w:rsid w:val="00F9078C"/>
    <w:rsid w:val="00F920B1"/>
    <w:rsid w:val="00F94E33"/>
    <w:rsid w:val="00F96FCC"/>
    <w:rsid w:val="00FB4B7B"/>
    <w:rsid w:val="00FB5063"/>
    <w:rsid w:val="00FB6006"/>
    <w:rsid w:val="00FB7306"/>
    <w:rsid w:val="00FC015F"/>
    <w:rsid w:val="00FC036D"/>
    <w:rsid w:val="00FC373F"/>
    <w:rsid w:val="00FC3F6E"/>
    <w:rsid w:val="00FC5490"/>
    <w:rsid w:val="00FD2F86"/>
    <w:rsid w:val="00FD3674"/>
    <w:rsid w:val="00FE1435"/>
    <w:rsid w:val="00FF0416"/>
    <w:rsid w:val="00FF7A0B"/>
    <w:rsid w:val="0DEE40C5"/>
    <w:rsid w:val="51A04384"/>
    <w:rsid w:val="6D00B411"/>
    <w:rsid w:val="7B5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4B8"/>
  </w:style>
  <w:style w:type="paragraph" w:styleId="Nagwek1">
    <w:name w:val="heading 1"/>
    <w:basedOn w:val="Normalny"/>
    <w:next w:val="Normalny"/>
    <w:link w:val="Nagwek1Znak"/>
    <w:uiPriority w:val="9"/>
    <w:qFormat/>
    <w:rsid w:val="008043B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A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43B2"/>
    <w:rPr>
      <w:rFonts w:ascii="Calibri" w:eastAsia="Calibri" w:hAnsi="Calibri" w:cs="Calibri"/>
      <w:b/>
      <w:sz w:val="48"/>
      <w:szCs w:val="48"/>
      <w:lang w:eastAsia="pl-PL"/>
    </w:rPr>
  </w:style>
  <w:style w:type="paragraph" w:customStyle="1" w:styleId="TreA">
    <w:name w:val="Treść A"/>
    <w:rsid w:val="00402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styleId="Siatkatabelijasna">
    <w:name w:val="Grid Table Light"/>
    <w:basedOn w:val="Standardowy"/>
    <w:uiPriority w:val="40"/>
    <w:rsid w:val="004022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A8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22615-0193-4F3D-84DF-E5540E2345FE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customXml/itemProps2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A041A-EC78-449C-8066-F8260FD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F968F-3FF9-4BF6-A23F-ED5A33999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7437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16</cp:revision>
  <cp:lastPrinted>2022-05-23T14:25:00Z</cp:lastPrinted>
  <dcterms:created xsi:type="dcterms:W3CDTF">2025-05-22T09:25:00Z</dcterms:created>
  <dcterms:modified xsi:type="dcterms:W3CDTF">2026-03-10T12:01:00Z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  <property fmtid="{D5CDD505-2E9C-101B-9397-08002B2CF9AE}" pid="4" name="GrammarlyDocumentId">
    <vt:lpwstr>fe0c0745-ebae-445f-a46f-aeadac05c76d</vt:lpwstr>
  </property>
</Properties>
</file>